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00143280337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00000000000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PIACENZA EXPO S.P.A.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noleggio, agenzie di viaggio, servizi di supporto alle imprese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Emilia-Romagna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1-15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SERGIO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COPELLI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Coordinatore generale Segreteria Organizzativa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18/01/2018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sono state avviate le attività e, dunque, sono attualmente in corso di adozione</w:t>
        <w:br/>
        <w:t>	-	Per 1 misure non sono state ancora avviate le attività, ma saranno avviate nei tempi previsti</w:t>
        <w:br/>
        <w:t>	-	Per 1 misure non sono state ancora avviate le attività e non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nel2018</w:t>
        <w:br/>
        <w:t>Inoltre le suddette misure sono state aggiornate 1 volte.</w:t>
        <w:br/>
        <w:t/>
        <w:br/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non necessarie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/>
      </w:r>
    </w:p>
    <w:p w14:paraId="72335899" w14:textId="4C42AF3B" w:rsidP="00050F7D" w:rsidR="00997BF2" w:rsidRDefault="00997BF2">
      <w:r>
        <w:t>Sebbene nel documento unitario che tiene luogo del PTPCT o nella sezione apposita del M.O.G. sia stata prevista la misura della Rotazione Ordinaria del Personale, non è stato ancora adottato un Atto per l'implementazione della misura, per le seguenti motivazioni:</w:t>
      </w:r>
    </w:p>
    <w:p w14:paraId="35493B48" w14:textId="407CF617" w:rsidP="00050F7D" w:rsidR="00997BF2" w:rsidRDefault="00997BF2">
      <w:r>
        <w:t>La misura “Rotazione Ordinaria del Personale”, pur essendo stata programmata nel documento unitario che tiene luogo del PTPCT o nella sezione apposita del M.O.G. di riferimento, non è stata ancora realizzata, in particolare</w:t>
        <w:br/>
        <w:t>non sono state ancora avviate le attività per sua adozione della misura, ma saranno avviate nei tempi previsti</w:t>
        <w:br/>
        <w:t xml:space="preserve">  - carenza di personale (livelli professionali)</w:t>
        <w:br/>
        <w:t xml:space="preserve">  - carenza di personale (profili professionali)</w:t>
        <w:br/>
        <w:t xml:space="preserve">  - carenza di competenze</w:t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 documento unitario che tiene luogo del PTPCT o nella sezione apposita del M.O.G. non sono previste misure ai sensi dell'art. 3 della L. n. 97/2001 per le seguenti motivazioni:organico ridotto e specializzazione delle funzioni/attività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778DFBB" w14:textId="44C35BB7" w:rsidP="0083587B" w:rsidR="0069341C" w:rsidRDefault="0069341C">
      <w:r>
        <w:t/>
        <w:br/>
        <w:t/>
        <w:br/>
        <w:t xml:space="preserve">INCONFERIBILITÀ </w:t>
        <w:br/>
        <w:t>Nell'anno di riferimento delle misure di prevenzione della corruzione in esame, sono pervenute 1 dichiarazioni rese dagli interessati sull'insussistenza di cause di inconferibilità relative a 1 soggetti.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delle misure di prevenzione della corruzione in esame, sono pervenute 1 dichiarazioni rese dagli interessati sull'insussistenza di cause di inconferibilità relative a 1 soggetti.</w:t>
        <w:br/>
        <w:t>Non sono state effettuate verifiche sulla veridicità delle dichiarazioni rese dagli interessati sull'insussistenza di cause di inconferibilità.</w:t>
        <w:br/>
        <w:t/>
        <w:br/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null</w:t>
        <w:br/>
        <w:t/>
        <w:br/>
        <w:t>Nell'anno di riferimento delle misure di prevenzione della corruzione in esame, non sono stati effettuati controlli sulle dichiarazioni relative ai precedenti penali.</w:t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“Whistleblowing”.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  <w:br/>
        <w:t>Sono state avviate le attività e, dunque, è attualmente in corso di adozione.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semestrale.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solo in parte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 xml:space="preserve">Nell’anno di riferimento delle misure di prevenzione della corruzione in esame sono pervenute 1 richieste di accesso civico “semplice” 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esame, non sono pervenute richieste di accesso documentale.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  <w:br/>
        <w:t/>
        <w:br/>
        <w:t>In merito al livello di adempimento degli obblighi di trasparenza, si formula il seguente giudizio: nessuna inadempienza.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>La misura “Pantouflage”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  <w:br/>
        <w:t xml:space="preserve"> non ci sono dipendenti pubblici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  <w:br/>
        <w:t/>
        <w:br/>
        <w:t>Nell’anno di riferimento delle misure di prevenzione della corruzione in esame, non sono pervenute segnalazioni relative alla violazione dei divieti contenuti nell’art. 35 bis del d.lgs. n. 165/2001.</w:t>
        <w:br/>
        <w:t/>
        <w:br/>
        <w:t>Nell’anno di riferimento delle misure di prevenzione della corruzione in esame, non sono stati effettuati controlli sull’attuazione della misura.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Non sono state ancora avviate le attività per la sua adozione, ma saranno avviate nei tempi previsti.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positivo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agendo in campo privatistico come spa l'attuazione del Piano risente di diverse procedure non inseribili in un monitoraggio realizzato per le amministrazioni pubbliche. Maggiore efficacia riveste l'aspetto etico e comportamentale.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5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14</w:t>
            </w:r>
          </w:p>
        </w:tc>
        <w:tc>
          <w:p>
            <w:r>
              <w:t>14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</w:t>
        <w:br/>
        <w:t xml:space="preserve">  - la capacità di individuare e far emergere situazioni di rischio corruttivo e di intervenire con adeguati rimedi è aumentata</w:t>
        <w:br/>
        <w:t xml:space="preserve">  - la reputazione dell'ente è rimasta invariata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medio per le seguenti ragioni: la particolarità societaria e del tipo di attività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la particolarità societaria e del tipo di attività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la particolarità societaria e del tipo di attività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Con riferimento all’attuazione delle misure specifiche di controllo, nell’anno di riferimento delle misure di prevenzione della corruzione si evidenzia quanto segue:</w:t>
        <w:br/>
        <w:t xml:space="preserve">  -  Numero di misure programmate: 5</w:t>
        <w:br/>
        <w:t xml:space="preserve">  -  Numero di misure attuate nei tempi previsti: 5</w:t>
        <w:br/>
        <w:t xml:space="preserve">  -  Numero di misure non attuate: 0</w:t>
        <w:br/>
        <w:t/>
        <w:br/>
        <w:t xml:space="preserve">Di seguito si fornisce il dettaglio del monitoraggio per ogni singola misura di controllo programmata </w:t>
        <w:br/>
        <w:t/>
        <w:br/>
        <w:t>Area di rischio: D.4 Contratti pubblici - Verifica dell’aggiudicazione e stipula del contratto</w:t>
        <w:br/>
        <w:t>Denominazione misura: attribuzione CIG per tracciabilità</w:t>
        <w:br/>
        <w:t>La misura è stata attuata nei tempi previsti.</w:t>
        <w:br/>
        <w:t/>
        <w:br/>
        <w:t>Area di rischio: F. Gestione delle entrate, delle spese e del patrimonio</w:t>
        <w:br/>
        <w:t xml:space="preserve">Denominazione misura: tracciabilità delle spese ad evidenza pubblica e tracciabilità con procedura interna per quelle di pertinenza </w:t>
        <w:br/>
        <w:t>La misura è stata attuata nei tempi previsti.</w:t>
        <w:br/>
        <w:t/>
        <w:br/>
        <w:t>Area di rischio: M. Processi con esposizione a rischi corruttivi significativi</w:t>
        <w:br/>
        <w:t>Denominazione misura: separazione dei decisori d'acquisto dalle funzioni di preventivazione e contabilità.</w:t>
        <w:br/>
        <w:t>La misura è stata attuata nei tempi previsti.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Con riferimento all’attuazione delle misure specifiche di trasparenza, nell’anno di riferimento delle misure di prevenzione della corruzione si evidenzia quanto segue:</w:t>
        <w:br/>
        <w:t xml:space="preserve">  -  Numero di misure programmate: 7</w:t>
        <w:br/>
        <w:t xml:space="preserve">  -  Numero di misure attuate nei tempi previsti: 7</w:t>
        <w:br/>
        <w:t xml:space="preserve">  -  Numero di misure non attuate: 0</w:t>
        <w:br/>
        <w:t/>
        <w:br/>
        <w:t xml:space="preserve">Di seguito si fornisce il dettaglio del monitoraggio per ogni singola misura di trasparenza programmata </w:t>
        <w:br/>
        <w:t/>
        <w:br/>
        <w:t>Area di rischio: A. Concorsi e prove selettive</w:t>
        <w:br/>
        <w:t>Denominazione misura: pubblicazione bandi e graduatorie. Nomina commissioni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attribuzione CIG</w:t>
        <w:br/>
        <w:t>La misura è stata attuata nei tempi previsti.</w:t>
        <w:br/>
        <w:t/>
        <w:br/>
        <w:t>Area di rischio: E. Incarichi e nomine</w:t>
        <w:br/>
        <w:t>Denominazione misura: Pubblicazione nomine e incarichi ad evidenza pubblica</w:t>
        <w:br/>
        <w:t>La misura è stata attuata nei tempi previsti.</w:t>
        <w:br/>
        <w:t/>
        <w:br/>
        <w:t>Area di rischio: F. Gestione delle entrate, delle spese e del patrimonio</w:t>
        <w:br/>
        <w:t>Denominazione misura: da normativa in vigore controllo collegio sindacale e revisore dei conti</w:t>
        <w:br/>
        <w:t>La misura è stata attuata nei tempi previsti.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Con riferimento all’attuazione delle misure specifiche di definizione e promozione dell’etica e di standard di comportamento, nell’anno di riferimento delle misure di prevenzione della corruzione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Di seguito si fornisce il dettaglio del monitoraggio per ogni singola misura di definizione e promozione dell’etica e di standard di comportamento programmata </w:t>
        <w:br/>
        <w:t/>
        <w:br/>
        <w:t>Area di rischio: F. Gestione delle entrate, delle spese e del patrimonio</w:t>
        <w:br/>
        <w:t>Denominazione misura: 1</w:t>
        <w:br/>
        <w:t>La misura è stata attuata nei tempi previsti.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Con riferimento all’attuazione delle misure specifiche di formazione, nell’anno di riferimento delle misure di prevenzione della corruzione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Di seguito si fornisce il dettaglio del monitoraggio per ogni singola misura di formazione programmata </w:t>
        <w:br/>
        <w:t/>
        <w:br/>
        <w:t>Area di rischio: F. Gestione delle entrate, delle spese e del patrimonio</w:t>
        <w:br/>
        <w:t>Denominazione misura: gestione delle liquidità con tracciabilità delle transazioni</w:t>
        <w:br/>
        <w:t>La misura è stata attuata nei tempi previsti.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